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ED2E" w14:textId="77777777" w:rsidR="00CE047C" w:rsidRDefault="00CE047C" w:rsidP="00570DD2">
      <w:pPr>
        <w:ind w:left="284" w:right="425"/>
      </w:pPr>
    </w:p>
    <w:p w14:paraId="605637CA" w14:textId="196ABCCC" w:rsidR="006F63CB" w:rsidRDefault="004329F6" w:rsidP="00EB6C3D">
      <w:pPr>
        <w:ind w:left="284" w:right="425"/>
        <w:jc w:val="both"/>
      </w:pPr>
      <w:r w:rsidRPr="004329F6">
        <w:t xml:space="preserve">La Région Occitanie / Pyrénées-Méditerranée, autorité portuaire, et l’Etablissement Public Régional Port Sud de France, en sa qualité de gestionnaire du port, ont été saisis </w:t>
      </w:r>
      <w:r w:rsidR="00485279" w:rsidRPr="00485279">
        <w:t xml:space="preserve">par un opérateur économique en vue </w:t>
      </w:r>
      <w:r w:rsidR="00C63444">
        <w:t xml:space="preserve">de développer une </w:t>
      </w:r>
      <w:r w:rsidR="00C63444" w:rsidRPr="00C63444">
        <w:rPr>
          <w:bCs/>
        </w:rPr>
        <w:t>activité d’import et de stockage de vracs liquides sur le port de commerce de Sète.</w:t>
      </w:r>
    </w:p>
    <w:p w14:paraId="100D672C" w14:textId="77777777" w:rsidR="00483A7A" w:rsidRPr="001F0195" w:rsidRDefault="00483A7A" w:rsidP="00EB6C3D">
      <w:pPr>
        <w:ind w:right="425"/>
        <w:jc w:val="both"/>
      </w:pPr>
    </w:p>
    <w:p w14:paraId="5735B3C2" w14:textId="77777777" w:rsidR="00483A7A" w:rsidRPr="001F0195" w:rsidRDefault="00483A7A" w:rsidP="00D3794A">
      <w:pPr>
        <w:ind w:left="284" w:right="425"/>
        <w:jc w:val="both"/>
        <w:rPr>
          <w:rFonts w:asciiTheme="minorHAnsi" w:hAnsiTheme="minorHAnsi" w:cstheme="minorBidi"/>
        </w:rPr>
      </w:pPr>
      <w:r w:rsidRPr="001F0195">
        <w:rPr>
          <w:rFonts w:asciiTheme="minorHAnsi" w:hAnsiTheme="minorHAnsi" w:cstheme="minorBidi"/>
        </w:rPr>
        <w:t>Cette demande constitue une manifestation d’intérêt spontanée conformément à l’article L 2122-1-4 du Code Général de la Propriété des Personnes Publiques issus de l’ordonnance n°2017-562 du 19 avril 2017 modifiant le code général de la propriété des personnes publiques, par dérogation au principe posé à l’article L 2122-1-1 du même code.</w:t>
      </w:r>
    </w:p>
    <w:p w14:paraId="5A6C050C" w14:textId="77777777" w:rsidR="00570DD2" w:rsidRPr="001F0195" w:rsidRDefault="00570DD2" w:rsidP="00570DD2">
      <w:pPr>
        <w:ind w:left="284" w:right="283"/>
      </w:pPr>
    </w:p>
    <w:tbl>
      <w:tblPr>
        <w:tblStyle w:val="TableauGrille1Clair-Accentuation2"/>
        <w:tblW w:w="0" w:type="auto"/>
        <w:tblInd w:w="279" w:type="dxa"/>
        <w:tblLook w:val="04A0" w:firstRow="1" w:lastRow="0" w:firstColumn="1" w:lastColumn="0" w:noHBand="0" w:noVBand="1"/>
      </w:tblPr>
      <w:tblGrid>
        <w:gridCol w:w="4394"/>
        <w:gridCol w:w="5670"/>
      </w:tblGrid>
      <w:tr w:rsidR="00124AD6" w:rsidRPr="00D3794A" w14:paraId="0AF7CDA3" w14:textId="77777777" w:rsidTr="008B1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4" w:type="dxa"/>
            <w:gridSpan w:val="2"/>
            <w:shd w:val="clear" w:color="auto" w:fill="FBE4D5" w:themeFill="accent2" w:themeFillTint="33"/>
            <w:vAlign w:val="center"/>
          </w:tcPr>
          <w:p w14:paraId="72C1AC31" w14:textId="017D63E0" w:rsidR="00124AD6" w:rsidRPr="00D3794A" w:rsidRDefault="00124AD6" w:rsidP="003856CA">
            <w:pPr>
              <w:ind w:right="283"/>
              <w:jc w:val="center"/>
            </w:pPr>
          </w:p>
        </w:tc>
      </w:tr>
      <w:tr w:rsidR="00124AD6" w:rsidRPr="00D3794A" w14:paraId="37AE5A2B" w14:textId="77777777" w:rsidTr="008B1BAD">
        <w:tc>
          <w:tcPr>
            <w:cnfStyle w:val="001000000000" w:firstRow="0" w:lastRow="0" w:firstColumn="1" w:lastColumn="0" w:oddVBand="0" w:evenVBand="0" w:oddHBand="0" w:evenHBand="0" w:firstRowFirstColumn="0" w:firstRowLastColumn="0" w:lastRowFirstColumn="0" w:lastRowLastColumn="0"/>
            <w:tcW w:w="4394" w:type="dxa"/>
            <w:vAlign w:val="center"/>
          </w:tcPr>
          <w:p w14:paraId="5F98A72D" w14:textId="1FE0637F" w:rsidR="00124AD6" w:rsidRPr="00111283" w:rsidRDefault="00124AD6" w:rsidP="00570DD2">
            <w:pPr>
              <w:ind w:right="283"/>
            </w:pPr>
            <w:r w:rsidRPr="00111283">
              <w:rPr>
                <w:rFonts w:asciiTheme="minorHAnsi" w:hAnsiTheme="minorHAnsi" w:cstheme="minorBidi"/>
                <w:color w:val="002060"/>
              </w:rPr>
              <w:t>Destination du domaine public portuaire</w:t>
            </w:r>
          </w:p>
        </w:tc>
        <w:tc>
          <w:tcPr>
            <w:tcW w:w="5670" w:type="dxa"/>
            <w:vAlign w:val="center"/>
          </w:tcPr>
          <w:p w14:paraId="7E5255B1" w14:textId="20737007" w:rsidR="00124AD6" w:rsidRPr="00D3794A" w:rsidRDefault="00210739" w:rsidP="0024592A">
            <w:pPr>
              <w:ind w:right="283"/>
              <w:jc w:val="both"/>
              <w:cnfStyle w:val="000000000000" w:firstRow="0" w:lastRow="0" w:firstColumn="0" w:lastColumn="0" w:oddVBand="0" w:evenVBand="0" w:oddHBand="0" w:evenHBand="0" w:firstRowFirstColumn="0" w:firstRowLastColumn="0" w:lastRowFirstColumn="0" w:lastRowLastColumn="0"/>
            </w:pPr>
            <w:r>
              <w:rPr>
                <w:bCs/>
              </w:rPr>
              <w:t xml:space="preserve">Développement d’une activité </w:t>
            </w:r>
            <w:r w:rsidRPr="00210739">
              <w:rPr>
                <w:bCs/>
              </w:rPr>
              <w:t>d’import et de stockage de vracs liquides sur le port de commerce de Sète</w:t>
            </w:r>
          </w:p>
        </w:tc>
      </w:tr>
      <w:tr w:rsidR="00124AD6" w:rsidRPr="00D3794A" w14:paraId="2BFBAEEB" w14:textId="77777777" w:rsidTr="008B1BAD">
        <w:tc>
          <w:tcPr>
            <w:cnfStyle w:val="001000000000" w:firstRow="0" w:lastRow="0" w:firstColumn="1" w:lastColumn="0" w:oddVBand="0" w:evenVBand="0" w:oddHBand="0" w:evenHBand="0" w:firstRowFirstColumn="0" w:firstRowLastColumn="0" w:lastRowFirstColumn="0" w:lastRowLastColumn="0"/>
            <w:tcW w:w="4394" w:type="dxa"/>
            <w:vAlign w:val="center"/>
          </w:tcPr>
          <w:p w14:paraId="36C5E8A2" w14:textId="4EC352D7" w:rsidR="00124AD6" w:rsidRPr="00111283" w:rsidRDefault="00124AD6" w:rsidP="00570DD2">
            <w:pPr>
              <w:ind w:right="283"/>
            </w:pPr>
            <w:r w:rsidRPr="00111283">
              <w:rPr>
                <w:rFonts w:asciiTheme="minorHAnsi" w:hAnsiTheme="minorHAnsi" w:cstheme="minorBidi"/>
                <w:color w:val="002060"/>
              </w:rPr>
              <w:t>Caractéristique de l’emplacement</w:t>
            </w:r>
          </w:p>
        </w:tc>
        <w:tc>
          <w:tcPr>
            <w:tcW w:w="5670" w:type="dxa"/>
            <w:vAlign w:val="center"/>
          </w:tcPr>
          <w:p w14:paraId="617A4D7D" w14:textId="1454DB9C" w:rsidR="00C07196" w:rsidRPr="00C07196" w:rsidRDefault="00A126E7" w:rsidP="00C07196">
            <w:pPr>
              <w:ind w:right="283"/>
              <w:jc w:val="both"/>
              <w:cnfStyle w:val="000000000000" w:firstRow="0" w:lastRow="0" w:firstColumn="0" w:lastColumn="0" w:oddVBand="0" w:evenVBand="0" w:oddHBand="0" w:evenHBand="0" w:firstRowFirstColumn="0" w:firstRowLastColumn="0" w:lastRowFirstColumn="0" w:lastRowLastColumn="0"/>
              <w:rPr>
                <w:bCs/>
              </w:rPr>
            </w:pPr>
            <w:r w:rsidRPr="00A126E7">
              <w:rPr>
                <w:bCs/>
              </w:rPr>
              <w:t>9.608 m² et 325ml de canalisations en arrière de l’ancien bassin à pétrole du port de commerce de Sète</w:t>
            </w:r>
          </w:p>
        </w:tc>
      </w:tr>
      <w:tr w:rsidR="00124AD6" w:rsidRPr="00D3794A" w14:paraId="02E05A9E" w14:textId="77777777" w:rsidTr="008B1BAD">
        <w:tc>
          <w:tcPr>
            <w:cnfStyle w:val="001000000000" w:firstRow="0" w:lastRow="0" w:firstColumn="1" w:lastColumn="0" w:oddVBand="0" w:evenVBand="0" w:oddHBand="0" w:evenHBand="0" w:firstRowFirstColumn="0" w:firstRowLastColumn="0" w:lastRowFirstColumn="0" w:lastRowLastColumn="0"/>
            <w:tcW w:w="4394" w:type="dxa"/>
            <w:vAlign w:val="center"/>
          </w:tcPr>
          <w:p w14:paraId="0F7035E7" w14:textId="7B4CD2A5" w:rsidR="00124AD6" w:rsidRPr="00111283" w:rsidRDefault="00124AD6" w:rsidP="00124AD6">
            <w:pPr>
              <w:ind w:right="283"/>
            </w:pPr>
            <w:r w:rsidRPr="00111283">
              <w:rPr>
                <w:rFonts w:asciiTheme="minorHAnsi" w:hAnsiTheme="minorHAnsi" w:cstheme="minorBidi"/>
                <w:color w:val="002060"/>
              </w:rPr>
              <w:t>Durée de la convention</w:t>
            </w:r>
          </w:p>
        </w:tc>
        <w:tc>
          <w:tcPr>
            <w:tcW w:w="5670" w:type="dxa"/>
            <w:vAlign w:val="center"/>
          </w:tcPr>
          <w:p w14:paraId="5ED09491" w14:textId="05EB95A6" w:rsidR="00124AD6" w:rsidRPr="00D3794A" w:rsidRDefault="00D908DA" w:rsidP="0024592A">
            <w:pPr>
              <w:ind w:right="283"/>
              <w:jc w:val="both"/>
              <w:cnfStyle w:val="000000000000" w:firstRow="0" w:lastRow="0" w:firstColumn="0" w:lastColumn="0" w:oddVBand="0" w:evenVBand="0" w:oddHBand="0" w:evenHBand="0" w:firstRowFirstColumn="0" w:firstRowLastColumn="0" w:lastRowFirstColumn="0" w:lastRowLastColumn="0"/>
            </w:pPr>
            <w:r>
              <w:t>Cinq (5) années à</w:t>
            </w:r>
            <w:r w:rsidR="00AE3DEC">
              <w:t xml:space="preserve"> compter du </w:t>
            </w:r>
            <w:r w:rsidR="006D79BE">
              <w:t>1</w:t>
            </w:r>
            <w:r w:rsidR="006D79BE" w:rsidRPr="006D79BE">
              <w:rPr>
                <w:vertAlign w:val="superscript"/>
              </w:rPr>
              <w:t>er</w:t>
            </w:r>
            <w:r w:rsidR="006D79BE">
              <w:t xml:space="preserve"> janvier 20</w:t>
            </w:r>
            <w:r>
              <w:t>34</w:t>
            </w:r>
            <w:r w:rsidR="00AE3DEC">
              <w:t xml:space="preserve"> </w:t>
            </w:r>
          </w:p>
        </w:tc>
      </w:tr>
    </w:tbl>
    <w:p w14:paraId="175A7C61" w14:textId="77777777" w:rsidR="00570DD2" w:rsidRDefault="00570DD2" w:rsidP="00570DD2">
      <w:pPr>
        <w:ind w:left="284" w:right="283"/>
      </w:pPr>
    </w:p>
    <w:p w14:paraId="39905F4F"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La redevance afférente à cette occupation est établie conformément aux dispositions du Code général des propriétés des personnes publiques.</w:t>
      </w:r>
    </w:p>
    <w:p w14:paraId="72A528AC" w14:textId="77777777" w:rsidR="00544712" w:rsidRDefault="00544712" w:rsidP="00544712">
      <w:pPr>
        <w:ind w:left="284" w:right="425"/>
        <w:jc w:val="both"/>
        <w:rPr>
          <w:rFonts w:asciiTheme="minorHAnsi" w:hAnsiTheme="minorHAnsi"/>
        </w:rPr>
      </w:pPr>
    </w:p>
    <w:p w14:paraId="4516508F"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Dans le cas d’une demande concurrente de convention d’occupation temporaire, le candidat devra déposer un dossier constitué des pièces suivantes :</w:t>
      </w:r>
    </w:p>
    <w:p w14:paraId="041D6461"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 xml:space="preserve">1° Une demande signée d’intention d’occupation du site ; </w:t>
      </w:r>
    </w:p>
    <w:p w14:paraId="76A09C53"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 xml:space="preserve">2° Les noms, prénoms, qualité, domicile du demandeur ou, si la demande émane d’une personne morale, les précisions suivantes : nature, dénomination, siège social et objet de la personne morale, ainsi que les noms prénoms, qualité, pouvoirs du signataire de la demande et, le cas échéant, du ou des représentants habilités auprès de l’administration ; </w:t>
      </w:r>
    </w:p>
    <w:p w14:paraId="0A9A1A1C"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3° Ses derniers bilans, comptes de résultat, expérience et activité permettant de justifier de sa capacité technique et financière à réaliser le projet présenté,</w:t>
      </w:r>
    </w:p>
    <w:p w14:paraId="54E864AF" w14:textId="77777777" w:rsidR="00544712" w:rsidRPr="009D0325" w:rsidRDefault="00544712" w:rsidP="00544712">
      <w:pPr>
        <w:ind w:left="284" w:right="425"/>
        <w:jc w:val="both"/>
        <w:rPr>
          <w:rFonts w:asciiTheme="minorHAnsi" w:hAnsiTheme="minorHAnsi"/>
        </w:rPr>
      </w:pPr>
      <w:r w:rsidRPr="009D0325">
        <w:rPr>
          <w:rFonts w:asciiTheme="minorHAnsi" w:hAnsiTheme="minorHAnsi"/>
        </w:rPr>
        <w:t>3° une note de candidature présentant le projet en détaillant le maximum et reprenant notamment :</w:t>
      </w:r>
    </w:p>
    <w:p w14:paraId="726B7679" w14:textId="77777777" w:rsidR="00544712" w:rsidRPr="009D0325" w:rsidRDefault="00544712" w:rsidP="00544712">
      <w:pPr>
        <w:numPr>
          <w:ilvl w:val="0"/>
          <w:numId w:val="1"/>
        </w:numPr>
        <w:ind w:right="425"/>
        <w:jc w:val="both"/>
        <w:rPr>
          <w:rFonts w:asciiTheme="minorHAnsi" w:hAnsiTheme="minorHAnsi"/>
        </w:rPr>
      </w:pPr>
      <w:r w:rsidRPr="009D0325">
        <w:rPr>
          <w:rFonts w:asciiTheme="minorHAnsi" w:hAnsiTheme="minorHAnsi"/>
        </w:rPr>
        <w:t>La nature de l’activité envisagée et l’intégration de cette activité au niveau local et régional ;</w:t>
      </w:r>
    </w:p>
    <w:p w14:paraId="1FACE530" w14:textId="77777777" w:rsidR="00544712" w:rsidRPr="009D0325" w:rsidRDefault="00544712" w:rsidP="00544712">
      <w:pPr>
        <w:numPr>
          <w:ilvl w:val="0"/>
          <w:numId w:val="1"/>
        </w:numPr>
        <w:ind w:right="425"/>
        <w:jc w:val="both"/>
        <w:rPr>
          <w:rFonts w:asciiTheme="minorHAnsi" w:hAnsiTheme="minorHAnsi"/>
        </w:rPr>
      </w:pPr>
      <w:proofErr w:type="gramStart"/>
      <w:r w:rsidRPr="009D0325">
        <w:rPr>
          <w:rFonts w:asciiTheme="minorHAnsi" w:hAnsiTheme="minorHAnsi"/>
        </w:rPr>
        <w:t>les</w:t>
      </w:r>
      <w:proofErr w:type="gramEnd"/>
      <w:r w:rsidRPr="009D0325">
        <w:rPr>
          <w:rFonts w:asciiTheme="minorHAnsi" w:hAnsiTheme="minorHAnsi"/>
        </w:rPr>
        <w:t xml:space="preserve"> installations et aménagements projetés et le montant des investissements estimés ;</w:t>
      </w:r>
    </w:p>
    <w:p w14:paraId="46E12533" w14:textId="77777777" w:rsidR="00544712" w:rsidRPr="009D0325" w:rsidRDefault="00544712" w:rsidP="00544712">
      <w:pPr>
        <w:numPr>
          <w:ilvl w:val="0"/>
          <w:numId w:val="1"/>
        </w:numPr>
        <w:ind w:right="425"/>
        <w:jc w:val="both"/>
        <w:rPr>
          <w:rFonts w:asciiTheme="minorHAnsi" w:hAnsiTheme="minorHAnsi"/>
        </w:rPr>
      </w:pPr>
      <w:proofErr w:type="gramStart"/>
      <w:r w:rsidRPr="009D0325">
        <w:rPr>
          <w:rFonts w:asciiTheme="minorHAnsi" w:hAnsiTheme="minorHAnsi"/>
        </w:rPr>
        <w:t>la</w:t>
      </w:r>
      <w:proofErr w:type="gramEnd"/>
      <w:r w:rsidRPr="009D0325">
        <w:rPr>
          <w:rFonts w:asciiTheme="minorHAnsi" w:hAnsiTheme="minorHAnsi"/>
        </w:rPr>
        <w:t xml:space="preserve"> durée pour laquelle l’occupation est sollicitée ;</w:t>
      </w:r>
    </w:p>
    <w:p w14:paraId="465CE94C" w14:textId="77777777" w:rsidR="00544712" w:rsidRPr="009D0325" w:rsidRDefault="00544712" w:rsidP="00544712">
      <w:pPr>
        <w:numPr>
          <w:ilvl w:val="0"/>
          <w:numId w:val="1"/>
        </w:numPr>
        <w:ind w:right="425"/>
        <w:jc w:val="both"/>
        <w:rPr>
          <w:rFonts w:asciiTheme="minorHAnsi" w:hAnsiTheme="minorHAnsi"/>
        </w:rPr>
      </w:pPr>
      <w:proofErr w:type="gramStart"/>
      <w:r w:rsidRPr="009D0325">
        <w:rPr>
          <w:rFonts w:asciiTheme="minorHAnsi" w:hAnsiTheme="minorHAnsi"/>
        </w:rPr>
        <w:t>la</w:t>
      </w:r>
      <w:proofErr w:type="gramEnd"/>
      <w:r w:rsidRPr="009D0325">
        <w:rPr>
          <w:rFonts w:asciiTheme="minorHAnsi" w:hAnsiTheme="minorHAnsi"/>
        </w:rPr>
        <w:t xml:space="preserve"> redevance d’occupation annuelle proposée.</w:t>
      </w:r>
    </w:p>
    <w:p w14:paraId="756EE54B" w14:textId="77777777" w:rsidR="00544712" w:rsidRDefault="00544712" w:rsidP="00544712">
      <w:pPr>
        <w:ind w:left="284" w:right="425"/>
        <w:jc w:val="both"/>
        <w:rPr>
          <w:rFonts w:asciiTheme="minorHAnsi" w:hAnsiTheme="minorHAnsi"/>
        </w:rPr>
      </w:pPr>
    </w:p>
    <w:p w14:paraId="3A5F6289" w14:textId="77777777" w:rsidR="00544712" w:rsidRDefault="00544712" w:rsidP="00544712">
      <w:pPr>
        <w:ind w:left="284" w:right="425"/>
        <w:jc w:val="both"/>
        <w:rPr>
          <w:rFonts w:asciiTheme="minorHAnsi" w:hAnsiTheme="minorHAnsi"/>
        </w:rPr>
      </w:pPr>
    </w:p>
    <w:p w14:paraId="7853F802" w14:textId="61010B46" w:rsidR="00544712" w:rsidRPr="008B18BD" w:rsidRDefault="00544712" w:rsidP="00544712">
      <w:pPr>
        <w:ind w:left="284" w:right="425"/>
        <w:jc w:val="both"/>
        <w:rPr>
          <w:rFonts w:asciiTheme="minorHAnsi" w:hAnsiTheme="minorHAnsi"/>
        </w:rPr>
      </w:pPr>
      <w:r w:rsidRPr="008B18BD">
        <w:rPr>
          <w:rFonts w:asciiTheme="minorHAnsi" w:hAnsiTheme="minorHAnsi"/>
        </w:rPr>
        <w:t xml:space="preserve">Le dossier de candidature sera déposé avant le </w:t>
      </w:r>
      <w:r w:rsidR="00315A35">
        <w:rPr>
          <w:rFonts w:asciiTheme="minorHAnsi" w:hAnsiTheme="minorHAnsi"/>
          <w:b/>
          <w:bCs/>
        </w:rPr>
        <w:t>9 octobre</w:t>
      </w:r>
      <w:r w:rsidR="0040778F">
        <w:rPr>
          <w:rFonts w:asciiTheme="minorHAnsi" w:hAnsiTheme="minorHAnsi"/>
          <w:b/>
          <w:bCs/>
        </w:rPr>
        <w:t xml:space="preserve"> 2024</w:t>
      </w:r>
      <w:r w:rsidRPr="009D0325">
        <w:rPr>
          <w:rFonts w:asciiTheme="minorHAnsi" w:hAnsiTheme="minorHAnsi"/>
          <w:b/>
          <w:bCs/>
        </w:rPr>
        <w:t xml:space="preserve"> à 12h00</w:t>
      </w:r>
      <w:r w:rsidRPr="008B18BD">
        <w:rPr>
          <w:rFonts w:asciiTheme="minorHAnsi" w:hAnsiTheme="minorHAnsi"/>
        </w:rPr>
        <w:t xml:space="preserve"> auprès de la Direction Juridique de l’Etablissement Public Régional Port Sud de France, par courrier recommandé ou courrier électronique aux adresses indiquées en bas de page.</w:t>
      </w:r>
    </w:p>
    <w:p w14:paraId="0AE58FD3" w14:textId="77777777" w:rsidR="00570DD2" w:rsidRPr="00CE047C" w:rsidRDefault="00570DD2" w:rsidP="00570DD2">
      <w:pPr>
        <w:ind w:left="284" w:right="283"/>
      </w:pPr>
    </w:p>
    <w:sectPr w:rsidR="00570DD2" w:rsidRPr="00CE047C" w:rsidSect="00483A7A">
      <w:headerReference w:type="default" r:id="rId8"/>
      <w:footerReference w:type="default" r:id="rId9"/>
      <w:pgSz w:w="11906" w:h="16838"/>
      <w:pgMar w:top="709" w:right="566" w:bottom="851"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1F51" w14:textId="77777777" w:rsidR="004D517B" w:rsidRDefault="004D517B" w:rsidP="00CE047C">
      <w:r>
        <w:separator/>
      </w:r>
    </w:p>
  </w:endnote>
  <w:endnote w:type="continuationSeparator" w:id="0">
    <w:p w14:paraId="646D33E3" w14:textId="77777777" w:rsidR="004D517B" w:rsidRDefault="004D517B" w:rsidP="00CE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roxima Nova">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8073" w14:textId="7918A5BF" w:rsidR="00CE047C" w:rsidRDefault="00CE047C" w:rsidP="00CE047C">
    <w:pPr>
      <w:pStyle w:val="Pieddepage"/>
    </w:pPr>
    <w:r>
      <w:rPr>
        <w:noProof/>
      </w:rPr>
      <w:drawing>
        <wp:anchor distT="0" distB="0" distL="114300" distR="114300" simplePos="0" relativeHeight="251658240" behindDoc="1" locked="0" layoutInCell="1" allowOverlap="1" wp14:anchorId="440E8C0B" wp14:editId="3B48F381">
          <wp:simplePos x="0" y="0"/>
          <wp:positionH relativeFrom="column">
            <wp:posOffset>4839335</wp:posOffset>
          </wp:positionH>
          <wp:positionV relativeFrom="paragraph">
            <wp:posOffset>-5080</wp:posOffset>
          </wp:positionV>
          <wp:extent cx="2101215" cy="644525"/>
          <wp:effectExtent l="0" t="0" r="0" b="3175"/>
          <wp:wrapTight wrapText="bothSides">
            <wp:wrapPolygon edited="0">
              <wp:start x="0" y="0"/>
              <wp:lineTo x="0" y="21068"/>
              <wp:lineTo x="21345" y="21068"/>
              <wp:lineTo x="21345" y="0"/>
              <wp:lineTo x="0" y="0"/>
            </wp:wrapPolygon>
          </wp:wrapTight>
          <wp:docPr id="969036804" name="Image 969036804"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9331" name="Image 1"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01215" cy="644525"/>
                  </a:xfrm>
                  <a:prstGeom prst="rect">
                    <a:avLst/>
                  </a:prstGeom>
                </pic:spPr>
              </pic:pic>
            </a:graphicData>
          </a:graphic>
          <wp14:sizeRelH relativeFrom="margin">
            <wp14:pctWidth>0</wp14:pctWidth>
          </wp14:sizeRelH>
          <wp14:sizeRelV relativeFrom="margin">
            <wp14:pctHeight>0</wp14:pctHeight>
          </wp14:sizeRelV>
        </wp:anchor>
      </w:drawing>
    </w:r>
    <w:r>
      <w:t>Établissement Public Régional Port Sud de France</w:t>
    </w:r>
    <w:r>
      <w:tab/>
      <w:t xml:space="preserve">                                                               </w:t>
    </w:r>
  </w:p>
  <w:p w14:paraId="118EB04B" w14:textId="0B3E88F4" w:rsidR="00CE047C" w:rsidRDefault="00CE047C" w:rsidP="00CE047C">
    <w:pPr>
      <w:pStyle w:val="Pieddepage"/>
    </w:pPr>
    <w:r>
      <w:t>1 quai Philippe Régy - 34 200 SETE</w:t>
    </w:r>
  </w:p>
  <w:p w14:paraId="2A0DF21B" w14:textId="77777777" w:rsidR="00CE047C" w:rsidRDefault="00CE047C" w:rsidP="00CE047C">
    <w:pPr>
      <w:pStyle w:val="Pieddepage"/>
    </w:pPr>
    <w:r>
      <w:t>estaque.paul@portsuddefrance-sete.fr</w:t>
    </w:r>
  </w:p>
  <w:p w14:paraId="4A6FCF1B" w14:textId="47FBBE59" w:rsidR="00CE047C" w:rsidRDefault="00CE047C" w:rsidP="00CE047C">
    <w:pPr>
      <w:pStyle w:val="Pieddepage"/>
    </w:pPr>
    <w:r>
      <w:t>04.67.46.35.18</w:t>
    </w:r>
  </w:p>
  <w:p w14:paraId="1F220682" w14:textId="77777777" w:rsidR="00CE047C" w:rsidRDefault="00CE04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58D7" w14:textId="77777777" w:rsidR="004D517B" w:rsidRDefault="004D517B" w:rsidP="00CE047C">
      <w:r>
        <w:separator/>
      </w:r>
    </w:p>
  </w:footnote>
  <w:footnote w:type="continuationSeparator" w:id="0">
    <w:p w14:paraId="5FADEDB9" w14:textId="77777777" w:rsidR="004D517B" w:rsidRDefault="004D517B" w:rsidP="00CE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8F4" w14:textId="499AD992" w:rsidR="00C306CA" w:rsidRDefault="00C306CA" w:rsidP="00C306CA">
    <w:pPr>
      <w:pStyle w:val="En-tte"/>
      <w:jc w:val="center"/>
    </w:pPr>
    <w:r>
      <w:rPr>
        <w:noProof/>
      </w:rPr>
      <w:drawing>
        <wp:inline distT="0" distB="0" distL="0" distR="0" wp14:anchorId="54998B62" wp14:editId="7A06E16B">
          <wp:extent cx="5098861" cy="770843"/>
          <wp:effectExtent l="0" t="0" r="0" b="0"/>
          <wp:docPr id="77640723" name="Image 7764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09611" name="Image 38909611"/>
                  <pic:cNvPicPr/>
                </pic:nvPicPr>
                <pic:blipFill rotWithShape="1">
                  <a:blip r:embed="rId1">
                    <a:extLst>
                      <a:ext uri="{28A0092B-C50C-407E-A947-70E740481C1C}">
                        <a14:useLocalDpi xmlns:a14="http://schemas.microsoft.com/office/drawing/2010/main" val="0"/>
                      </a:ext>
                    </a:extLst>
                  </a:blip>
                  <a:srcRect l="12043" r="13417"/>
                  <a:stretch/>
                </pic:blipFill>
                <pic:spPr bwMode="auto">
                  <a:xfrm>
                    <a:off x="0" y="0"/>
                    <a:ext cx="5099171" cy="770890"/>
                  </a:xfrm>
                  <a:prstGeom prst="rect">
                    <a:avLst/>
                  </a:prstGeom>
                  <a:ln>
                    <a:noFill/>
                  </a:ln>
                  <a:extLst>
                    <a:ext uri="{53640926-AAD7-44D8-BBD7-CCE9431645EC}">
                      <a14:shadowObscured xmlns:a14="http://schemas.microsoft.com/office/drawing/2010/main"/>
                    </a:ext>
                  </a:extLst>
                </pic:spPr>
              </pic:pic>
            </a:graphicData>
          </a:graphic>
        </wp:inline>
      </w:drawing>
    </w:r>
  </w:p>
  <w:p w14:paraId="03ACB8BA" w14:textId="31AA2DBE" w:rsidR="00C306CA" w:rsidRPr="00C306CA" w:rsidRDefault="00C306CA" w:rsidP="00C306CA">
    <w:pPr>
      <w:jc w:val="center"/>
      <w:rPr>
        <w:rFonts w:ascii="Proxima Nova" w:hAnsi="Proxima Nova"/>
        <w:b/>
        <w:color w:val="002060"/>
        <w:sz w:val="24"/>
        <w:szCs w:val="24"/>
      </w:rPr>
    </w:pPr>
    <w:r w:rsidRPr="00C306CA">
      <w:rPr>
        <w:rFonts w:ascii="Proxima Nova" w:hAnsi="Proxima Nova"/>
        <w:b/>
        <w:color w:val="002060"/>
        <w:sz w:val="24"/>
        <w:szCs w:val="24"/>
      </w:rPr>
      <w:t xml:space="preserve">Avis de publicité préalable pour l’occupation temporaire du domaine public portuaire </w:t>
    </w:r>
  </w:p>
  <w:p w14:paraId="366C0A21" w14:textId="77777777" w:rsidR="00C306CA" w:rsidRDefault="00C306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2B5"/>
    <w:multiLevelType w:val="hybridMultilevel"/>
    <w:tmpl w:val="44F2690E"/>
    <w:lvl w:ilvl="0" w:tplc="C040D7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E55633"/>
    <w:multiLevelType w:val="hybridMultilevel"/>
    <w:tmpl w:val="4FF6229C"/>
    <w:lvl w:ilvl="0" w:tplc="E1B69E16">
      <w:start w:val="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A65678"/>
    <w:multiLevelType w:val="multilevel"/>
    <w:tmpl w:val="E3D2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0"/>
    <w:rsid w:val="00070122"/>
    <w:rsid w:val="000920C0"/>
    <w:rsid w:val="000D46DE"/>
    <w:rsid w:val="00111283"/>
    <w:rsid w:val="001158E7"/>
    <w:rsid w:val="00124AD6"/>
    <w:rsid w:val="00150D1A"/>
    <w:rsid w:val="00195B75"/>
    <w:rsid w:val="001B7A7E"/>
    <w:rsid w:val="001C5BDC"/>
    <w:rsid w:val="001F0195"/>
    <w:rsid w:val="00210739"/>
    <w:rsid w:val="00212FBC"/>
    <w:rsid w:val="00223A50"/>
    <w:rsid w:val="0024592A"/>
    <w:rsid w:val="00255E29"/>
    <w:rsid w:val="002D53CA"/>
    <w:rsid w:val="002F3D2B"/>
    <w:rsid w:val="00315A35"/>
    <w:rsid w:val="003856CA"/>
    <w:rsid w:val="003C6EDD"/>
    <w:rsid w:val="003D180E"/>
    <w:rsid w:val="003F0B39"/>
    <w:rsid w:val="004002C9"/>
    <w:rsid w:val="0040778F"/>
    <w:rsid w:val="004174D3"/>
    <w:rsid w:val="004273FA"/>
    <w:rsid w:val="004329F6"/>
    <w:rsid w:val="004340D5"/>
    <w:rsid w:val="00483A7A"/>
    <w:rsid w:val="00485279"/>
    <w:rsid w:val="004918B0"/>
    <w:rsid w:val="004B1323"/>
    <w:rsid w:val="004D517B"/>
    <w:rsid w:val="004E3F5A"/>
    <w:rsid w:val="0053645F"/>
    <w:rsid w:val="00544712"/>
    <w:rsid w:val="0056048A"/>
    <w:rsid w:val="00570DD2"/>
    <w:rsid w:val="005C41F1"/>
    <w:rsid w:val="005E32D0"/>
    <w:rsid w:val="005F48F2"/>
    <w:rsid w:val="00666BD6"/>
    <w:rsid w:val="006A2977"/>
    <w:rsid w:val="006D79BE"/>
    <w:rsid w:val="006E3661"/>
    <w:rsid w:val="006F63CB"/>
    <w:rsid w:val="0078434C"/>
    <w:rsid w:val="00786F8B"/>
    <w:rsid w:val="007F3429"/>
    <w:rsid w:val="008159B9"/>
    <w:rsid w:val="0081674D"/>
    <w:rsid w:val="00827484"/>
    <w:rsid w:val="0085782E"/>
    <w:rsid w:val="008B1BAD"/>
    <w:rsid w:val="008F61C2"/>
    <w:rsid w:val="009243F9"/>
    <w:rsid w:val="009C6923"/>
    <w:rsid w:val="00A126E7"/>
    <w:rsid w:val="00A2599E"/>
    <w:rsid w:val="00A31B52"/>
    <w:rsid w:val="00A44067"/>
    <w:rsid w:val="00A53A33"/>
    <w:rsid w:val="00A873AF"/>
    <w:rsid w:val="00A95B19"/>
    <w:rsid w:val="00AC7F17"/>
    <w:rsid w:val="00AE3DEC"/>
    <w:rsid w:val="00B14E68"/>
    <w:rsid w:val="00B22AAD"/>
    <w:rsid w:val="00B64AEF"/>
    <w:rsid w:val="00B75516"/>
    <w:rsid w:val="00BF009C"/>
    <w:rsid w:val="00C07196"/>
    <w:rsid w:val="00C12CB8"/>
    <w:rsid w:val="00C306CA"/>
    <w:rsid w:val="00C63444"/>
    <w:rsid w:val="00CE047C"/>
    <w:rsid w:val="00CF6186"/>
    <w:rsid w:val="00D066E0"/>
    <w:rsid w:val="00D3794A"/>
    <w:rsid w:val="00D908DA"/>
    <w:rsid w:val="00DD2F39"/>
    <w:rsid w:val="00E7464F"/>
    <w:rsid w:val="00EA44D2"/>
    <w:rsid w:val="00EB6C3D"/>
    <w:rsid w:val="00EF780C"/>
    <w:rsid w:val="00F509D7"/>
    <w:rsid w:val="00F52927"/>
    <w:rsid w:val="00F573E8"/>
    <w:rsid w:val="00FE2F40"/>
    <w:rsid w:val="00FF1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DBF0"/>
  <w15:chartTrackingRefBased/>
  <w15:docId w15:val="{E293A764-389B-4589-ABFC-409F2356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A7A"/>
    <w:pPr>
      <w:spacing w:after="0" w:line="240" w:lineRule="auto"/>
    </w:pPr>
    <w:rPr>
      <w:rFonts w:ascii="Calibri" w:hAnsi="Calibri" w:cs="Calibri"/>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47C"/>
    <w:pPr>
      <w:tabs>
        <w:tab w:val="center" w:pos="4536"/>
        <w:tab w:val="right" w:pos="9072"/>
      </w:tabs>
    </w:pPr>
    <w:rPr>
      <w:rFonts w:asciiTheme="minorHAnsi" w:hAnsiTheme="minorHAnsi" w:cstheme="minorBidi"/>
      <w:kern w:val="2"/>
      <w14:ligatures w14:val="standardContextual"/>
    </w:rPr>
  </w:style>
  <w:style w:type="character" w:customStyle="1" w:styleId="En-tteCar">
    <w:name w:val="En-tête Car"/>
    <w:basedOn w:val="Policepardfaut"/>
    <w:link w:val="En-tte"/>
    <w:uiPriority w:val="99"/>
    <w:rsid w:val="00CE047C"/>
  </w:style>
  <w:style w:type="paragraph" w:styleId="Pieddepage">
    <w:name w:val="footer"/>
    <w:basedOn w:val="Normal"/>
    <w:link w:val="PieddepageCar"/>
    <w:uiPriority w:val="99"/>
    <w:unhideWhenUsed/>
    <w:rsid w:val="00CE047C"/>
    <w:pPr>
      <w:tabs>
        <w:tab w:val="center" w:pos="4536"/>
        <w:tab w:val="right" w:pos="9072"/>
      </w:tabs>
    </w:pPr>
    <w:rPr>
      <w:rFonts w:asciiTheme="minorHAnsi" w:hAnsiTheme="minorHAnsi" w:cstheme="minorBidi"/>
      <w:kern w:val="2"/>
      <w14:ligatures w14:val="standardContextual"/>
    </w:rPr>
  </w:style>
  <w:style w:type="character" w:customStyle="1" w:styleId="PieddepageCar">
    <w:name w:val="Pied de page Car"/>
    <w:basedOn w:val="Policepardfaut"/>
    <w:link w:val="Pieddepage"/>
    <w:uiPriority w:val="99"/>
    <w:rsid w:val="00CE047C"/>
  </w:style>
  <w:style w:type="paragraph" w:customStyle="1" w:styleId="paragraph">
    <w:name w:val="paragraph"/>
    <w:basedOn w:val="Normal"/>
    <w:rsid w:val="00CE047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contentcontrolboundarysink">
    <w:name w:val="contentcontrolboundarysink"/>
    <w:basedOn w:val="Policepardfaut"/>
    <w:rsid w:val="00CE047C"/>
  </w:style>
  <w:style w:type="character" w:customStyle="1" w:styleId="normaltextrun">
    <w:name w:val="normaltextrun"/>
    <w:basedOn w:val="Policepardfaut"/>
    <w:rsid w:val="00CE047C"/>
  </w:style>
  <w:style w:type="character" w:customStyle="1" w:styleId="eop">
    <w:name w:val="eop"/>
    <w:basedOn w:val="Policepardfaut"/>
    <w:rsid w:val="00CE047C"/>
  </w:style>
  <w:style w:type="table" w:styleId="Grilledutableau">
    <w:name w:val="Table Grid"/>
    <w:basedOn w:val="TableauNormal"/>
    <w:uiPriority w:val="39"/>
    <w:rsid w:val="0041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4174D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124AD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Liste2-Accentuation2">
    <w:name w:val="List Table 2 Accent 2"/>
    <w:basedOn w:val="TableauNormal"/>
    <w:uiPriority w:val="47"/>
    <w:rsid w:val="00124AD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2">
    <w:name w:val="Grid Table 6 Colorful Accent 2"/>
    <w:basedOn w:val="TableauNormal"/>
    <w:uiPriority w:val="51"/>
    <w:rsid w:val="00124AD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2">
    <w:name w:val="List Table 1 Light Accent 2"/>
    <w:basedOn w:val="TableauNormal"/>
    <w:uiPriority w:val="46"/>
    <w:rsid w:val="00124AD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aragraphedeliste">
    <w:name w:val="List Paragraph"/>
    <w:basedOn w:val="Normal"/>
    <w:uiPriority w:val="34"/>
    <w:qFormat/>
    <w:rsid w:val="00E74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75736">
      <w:bodyDiv w:val="1"/>
      <w:marLeft w:val="0"/>
      <w:marRight w:val="0"/>
      <w:marTop w:val="0"/>
      <w:marBottom w:val="0"/>
      <w:divBdr>
        <w:top w:val="none" w:sz="0" w:space="0" w:color="auto"/>
        <w:left w:val="none" w:sz="0" w:space="0" w:color="auto"/>
        <w:bottom w:val="none" w:sz="0" w:space="0" w:color="auto"/>
        <w:right w:val="none" w:sz="0" w:space="0" w:color="auto"/>
      </w:divBdr>
      <w:divsChild>
        <w:div w:id="920263027">
          <w:marLeft w:val="0"/>
          <w:marRight w:val="0"/>
          <w:marTop w:val="0"/>
          <w:marBottom w:val="0"/>
          <w:divBdr>
            <w:top w:val="none" w:sz="0" w:space="0" w:color="auto"/>
            <w:left w:val="none" w:sz="0" w:space="0" w:color="auto"/>
            <w:bottom w:val="none" w:sz="0" w:space="0" w:color="auto"/>
            <w:right w:val="none" w:sz="0" w:space="0" w:color="auto"/>
          </w:divBdr>
          <w:divsChild>
            <w:div w:id="494299425">
              <w:marLeft w:val="0"/>
              <w:marRight w:val="0"/>
              <w:marTop w:val="0"/>
              <w:marBottom w:val="0"/>
              <w:divBdr>
                <w:top w:val="none" w:sz="0" w:space="0" w:color="auto"/>
                <w:left w:val="none" w:sz="0" w:space="0" w:color="auto"/>
                <w:bottom w:val="none" w:sz="0" w:space="0" w:color="auto"/>
                <w:right w:val="none" w:sz="0" w:space="0" w:color="auto"/>
              </w:divBdr>
              <w:divsChild>
                <w:div w:id="1092436410">
                  <w:marLeft w:val="0"/>
                  <w:marRight w:val="0"/>
                  <w:marTop w:val="0"/>
                  <w:marBottom w:val="0"/>
                  <w:divBdr>
                    <w:top w:val="none" w:sz="0" w:space="0" w:color="auto"/>
                    <w:left w:val="none" w:sz="0" w:space="0" w:color="auto"/>
                    <w:bottom w:val="none" w:sz="0" w:space="0" w:color="auto"/>
                    <w:right w:val="none" w:sz="0" w:space="0" w:color="auto"/>
                  </w:divBdr>
                  <w:divsChild>
                    <w:div w:id="1526362483">
                      <w:marLeft w:val="0"/>
                      <w:marRight w:val="0"/>
                      <w:marTop w:val="0"/>
                      <w:marBottom w:val="0"/>
                      <w:divBdr>
                        <w:top w:val="none" w:sz="0" w:space="0" w:color="auto"/>
                        <w:left w:val="none" w:sz="0" w:space="0" w:color="auto"/>
                        <w:bottom w:val="none" w:sz="0" w:space="0" w:color="auto"/>
                        <w:right w:val="none" w:sz="0" w:space="0" w:color="auto"/>
                      </w:divBdr>
                      <w:divsChild>
                        <w:div w:id="2024941381">
                          <w:marLeft w:val="0"/>
                          <w:marRight w:val="0"/>
                          <w:marTop w:val="0"/>
                          <w:marBottom w:val="0"/>
                          <w:divBdr>
                            <w:top w:val="none" w:sz="0" w:space="0" w:color="auto"/>
                            <w:left w:val="none" w:sz="0" w:space="0" w:color="auto"/>
                            <w:bottom w:val="none" w:sz="0" w:space="0" w:color="auto"/>
                            <w:right w:val="none" w:sz="0" w:space="0" w:color="auto"/>
                          </w:divBdr>
                        </w:div>
                        <w:div w:id="430709851">
                          <w:marLeft w:val="0"/>
                          <w:marRight w:val="0"/>
                          <w:marTop w:val="0"/>
                          <w:marBottom w:val="0"/>
                          <w:divBdr>
                            <w:top w:val="none" w:sz="0" w:space="0" w:color="auto"/>
                            <w:left w:val="none" w:sz="0" w:space="0" w:color="auto"/>
                            <w:bottom w:val="none" w:sz="0" w:space="0" w:color="auto"/>
                            <w:right w:val="none" w:sz="0" w:space="0" w:color="auto"/>
                          </w:divBdr>
                        </w:div>
                        <w:div w:id="1612319423">
                          <w:marLeft w:val="0"/>
                          <w:marRight w:val="0"/>
                          <w:marTop w:val="0"/>
                          <w:marBottom w:val="0"/>
                          <w:divBdr>
                            <w:top w:val="none" w:sz="0" w:space="0" w:color="auto"/>
                            <w:left w:val="none" w:sz="0" w:space="0" w:color="auto"/>
                            <w:bottom w:val="none" w:sz="0" w:space="0" w:color="auto"/>
                            <w:right w:val="none" w:sz="0" w:space="0" w:color="auto"/>
                          </w:divBdr>
                        </w:div>
                      </w:divsChild>
                    </w:div>
                    <w:div w:id="2138450910">
                      <w:marLeft w:val="0"/>
                      <w:marRight w:val="0"/>
                      <w:marTop w:val="0"/>
                      <w:marBottom w:val="0"/>
                      <w:divBdr>
                        <w:top w:val="none" w:sz="0" w:space="0" w:color="auto"/>
                        <w:left w:val="none" w:sz="0" w:space="0" w:color="auto"/>
                        <w:bottom w:val="none" w:sz="0" w:space="0" w:color="auto"/>
                        <w:right w:val="none" w:sz="0" w:space="0" w:color="auto"/>
                      </w:divBdr>
                      <w:divsChild>
                        <w:div w:id="1729183601">
                          <w:marLeft w:val="0"/>
                          <w:marRight w:val="0"/>
                          <w:marTop w:val="0"/>
                          <w:marBottom w:val="0"/>
                          <w:divBdr>
                            <w:top w:val="none" w:sz="0" w:space="0" w:color="auto"/>
                            <w:left w:val="none" w:sz="0" w:space="0" w:color="auto"/>
                            <w:bottom w:val="none" w:sz="0" w:space="0" w:color="auto"/>
                            <w:right w:val="none" w:sz="0" w:space="0" w:color="auto"/>
                          </w:divBdr>
                        </w:div>
                      </w:divsChild>
                    </w:div>
                    <w:div w:id="1483884376">
                      <w:marLeft w:val="0"/>
                      <w:marRight w:val="0"/>
                      <w:marTop w:val="0"/>
                      <w:marBottom w:val="0"/>
                      <w:divBdr>
                        <w:top w:val="none" w:sz="0" w:space="0" w:color="auto"/>
                        <w:left w:val="none" w:sz="0" w:space="0" w:color="auto"/>
                        <w:bottom w:val="none" w:sz="0" w:space="0" w:color="auto"/>
                        <w:right w:val="none" w:sz="0" w:space="0" w:color="auto"/>
                      </w:divBdr>
                      <w:divsChild>
                        <w:div w:id="1789542657">
                          <w:marLeft w:val="0"/>
                          <w:marRight w:val="0"/>
                          <w:marTop w:val="0"/>
                          <w:marBottom w:val="0"/>
                          <w:divBdr>
                            <w:top w:val="none" w:sz="0" w:space="0" w:color="auto"/>
                            <w:left w:val="none" w:sz="0" w:space="0" w:color="auto"/>
                            <w:bottom w:val="none" w:sz="0" w:space="0" w:color="auto"/>
                            <w:right w:val="none" w:sz="0" w:space="0" w:color="auto"/>
                          </w:divBdr>
                        </w:div>
                      </w:divsChild>
                    </w:div>
                    <w:div w:id="1946769330">
                      <w:marLeft w:val="0"/>
                      <w:marRight w:val="0"/>
                      <w:marTop w:val="0"/>
                      <w:marBottom w:val="0"/>
                      <w:divBdr>
                        <w:top w:val="none" w:sz="0" w:space="0" w:color="auto"/>
                        <w:left w:val="none" w:sz="0" w:space="0" w:color="auto"/>
                        <w:bottom w:val="none" w:sz="0" w:space="0" w:color="auto"/>
                        <w:right w:val="none" w:sz="0" w:space="0" w:color="auto"/>
                      </w:divBdr>
                      <w:divsChild>
                        <w:div w:id="237136383">
                          <w:marLeft w:val="0"/>
                          <w:marRight w:val="0"/>
                          <w:marTop w:val="0"/>
                          <w:marBottom w:val="0"/>
                          <w:divBdr>
                            <w:top w:val="none" w:sz="0" w:space="0" w:color="auto"/>
                            <w:left w:val="none" w:sz="0" w:space="0" w:color="auto"/>
                            <w:bottom w:val="none" w:sz="0" w:space="0" w:color="auto"/>
                            <w:right w:val="none" w:sz="0" w:space="0" w:color="auto"/>
                          </w:divBdr>
                        </w:div>
                      </w:divsChild>
                    </w:div>
                    <w:div w:id="1672023853">
                      <w:marLeft w:val="0"/>
                      <w:marRight w:val="0"/>
                      <w:marTop w:val="0"/>
                      <w:marBottom w:val="0"/>
                      <w:divBdr>
                        <w:top w:val="none" w:sz="0" w:space="0" w:color="auto"/>
                        <w:left w:val="none" w:sz="0" w:space="0" w:color="auto"/>
                        <w:bottom w:val="none" w:sz="0" w:space="0" w:color="auto"/>
                        <w:right w:val="none" w:sz="0" w:space="0" w:color="auto"/>
                      </w:divBdr>
                      <w:divsChild>
                        <w:div w:id="1953633140">
                          <w:marLeft w:val="0"/>
                          <w:marRight w:val="0"/>
                          <w:marTop w:val="0"/>
                          <w:marBottom w:val="0"/>
                          <w:divBdr>
                            <w:top w:val="none" w:sz="0" w:space="0" w:color="auto"/>
                            <w:left w:val="none" w:sz="0" w:space="0" w:color="auto"/>
                            <w:bottom w:val="none" w:sz="0" w:space="0" w:color="auto"/>
                            <w:right w:val="none" w:sz="0" w:space="0" w:color="auto"/>
                          </w:divBdr>
                        </w:div>
                      </w:divsChild>
                    </w:div>
                    <w:div w:id="2132816450">
                      <w:marLeft w:val="0"/>
                      <w:marRight w:val="0"/>
                      <w:marTop w:val="0"/>
                      <w:marBottom w:val="0"/>
                      <w:divBdr>
                        <w:top w:val="none" w:sz="0" w:space="0" w:color="auto"/>
                        <w:left w:val="none" w:sz="0" w:space="0" w:color="auto"/>
                        <w:bottom w:val="none" w:sz="0" w:space="0" w:color="auto"/>
                        <w:right w:val="none" w:sz="0" w:space="0" w:color="auto"/>
                      </w:divBdr>
                      <w:divsChild>
                        <w:div w:id="941113165">
                          <w:marLeft w:val="0"/>
                          <w:marRight w:val="0"/>
                          <w:marTop w:val="0"/>
                          <w:marBottom w:val="0"/>
                          <w:divBdr>
                            <w:top w:val="none" w:sz="0" w:space="0" w:color="auto"/>
                            <w:left w:val="none" w:sz="0" w:space="0" w:color="auto"/>
                            <w:bottom w:val="none" w:sz="0" w:space="0" w:color="auto"/>
                            <w:right w:val="none" w:sz="0" w:space="0" w:color="auto"/>
                          </w:divBdr>
                        </w:div>
                      </w:divsChild>
                    </w:div>
                    <w:div w:id="530732196">
                      <w:marLeft w:val="0"/>
                      <w:marRight w:val="0"/>
                      <w:marTop w:val="0"/>
                      <w:marBottom w:val="0"/>
                      <w:divBdr>
                        <w:top w:val="none" w:sz="0" w:space="0" w:color="auto"/>
                        <w:left w:val="none" w:sz="0" w:space="0" w:color="auto"/>
                        <w:bottom w:val="none" w:sz="0" w:space="0" w:color="auto"/>
                        <w:right w:val="none" w:sz="0" w:space="0" w:color="auto"/>
                      </w:divBdr>
                      <w:divsChild>
                        <w:div w:id="755445340">
                          <w:marLeft w:val="0"/>
                          <w:marRight w:val="0"/>
                          <w:marTop w:val="0"/>
                          <w:marBottom w:val="0"/>
                          <w:divBdr>
                            <w:top w:val="none" w:sz="0" w:space="0" w:color="auto"/>
                            <w:left w:val="none" w:sz="0" w:space="0" w:color="auto"/>
                            <w:bottom w:val="none" w:sz="0" w:space="0" w:color="auto"/>
                            <w:right w:val="none" w:sz="0" w:space="0" w:color="auto"/>
                          </w:divBdr>
                        </w:div>
                      </w:divsChild>
                    </w:div>
                    <w:div w:id="257326068">
                      <w:marLeft w:val="0"/>
                      <w:marRight w:val="0"/>
                      <w:marTop w:val="0"/>
                      <w:marBottom w:val="0"/>
                      <w:divBdr>
                        <w:top w:val="none" w:sz="0" w:space="0" w:color="auto"/>
                        <w:left w:val="none" w:sz="0" w:space="0" w:color="auto"/>
                        <w:bottom w:val="none" w:sz="0" w:space="0" w:color="auto"/>
                        <w:right w:val="none" w:sz="0" w:space="0" w:color="auto"/>
                      </w:divBdr>
                      <w:divsChild>
                        <w:div w:id="962156576">
                          <w:marLeft w:val="0"/>
                          <w:marRight w:val="0"/>
                          <w:marTop w:val="0"/>
                          <w:marBottom w:val="0"/>
                          <w:divBdr>
                            <w:top w:val="none" w:sz="0" w:space="0" w:color="auto"/>
                            <w:left w:val="none" w:sz="0" w:space="0" w:color="auto"/>
                            <w:bottom w:val="none" w:sz="0" w:space="0" w:color="auto"/>
                            <w:right w:val="none" w:sz="0" w:space="0" w:color="auto"/>
                          </w:divBdr>
                        </w:div>
                        <w:div w:id="1693191016">
                          <w:marLeft w:val="0"/>
                          <w:marRight w:val="0"/>
                          <w:marTop w:val="0"/>
                          <w:marBottom w:val="0"/>
                          <w:divBdr>
                            <w:top w:val="none" w:sz="0" w:space="0" w:color="auto"/>
                            <w:left w:val="none" w:sz="0" w:space="0" w:color="auto"/>
                            <w:bottom w:val="none" w:sz="0" w:space="0" w:color="auto"/>
                            <w:right w:val="none" w:sz="0" w:space="0" w:color="auto"/>
                          </w:divBdr>
                        </w:div>
                        <w:div w:id="274138837">
                          <w:marLeft w:val="0"/>
                          <w:marRight w:val="0"/>
                          <w:marTop w:val="0"/>
                          <w:marBottom w:val="0"/>
                          <w:divBdr>
                            <w:top w:val="none" w:sz="0" w:space="0" w:color="auto"/>
                            <w:left w:val="none" w:sz="0" w:space="0" w:color="auto"/>
                            <w:bottom w:val="none" w:sz="0" w:space="0" w:color="auto"/>
                            <w:right w:val="none" w:sz="0" w:space="0" w:color="auto"/>
                          </w:divBdr>
                        </w:div>
                        <w:div w:id="731194475">
                          <w:marLeft w:val="0"/>
                          <w:marRight w:val="0"/>
                          <w:marTop w:val="0"/>
                          <w:marBottom w:val="0"/>
                          <w:divBdr>
                            <w:top w:val="none" w:sz="0" w:space="0" w:color="auto"/>
                            <w:left w:val="none" w:sz="0" w:space="0" w:color="auto"/>
                            <w:bottom w:val="none" w:sz="0" w:space="0" w:color="auto"/>
                            <w:right w:val="none" w:sz="0" w:space="0" w:color="auto"/>
                          </w:divBdr>
                        </w:div>
                        <w:div w:id="771979169">
                          <w:marLeft w:val="0"/>
                          <w:marRight w:val="0"/>
                          <w:marTop w:val="0"/>
                          <w:marBottom w:val="0"/>
                          <w:divBdr>
                            <w:top w:val="none" w:sz="0" w:space="0" w:color="auto"/>
                            <w:left w:val="none" w:sz="0" w:space="0" w:color="auto"/>
                            <w:bottom w:val="none" w:sz="0" w:space="0" w:color="auto"/>
                            <w:right w:val="none" w:sz="0" w:space="0" w:color="auto"/>
                          </w:divBdr>
                        </w:div>
                      </w:divsChild>
                    </w:div>
                    <w:div w:id="339935449">
                      <w:marLeft w:val="0"/>
                      <w:marRight w:val="0"/>
                      <w:marTop w:val="0"/>
                      <w:marBottom w:val="0"/>
                      <w:divBdr>
                        <w:top w:val="none" w:sz="0" w:space="0" w:color="auto"/>
                        <w:left w:val="none" w:sz="0" w:space="0" w:color="auto"/>
                        <w:bottom w:val="none" w:sz="0" w:space="0" w:color="auto"/>
                        <w:right w:val="none" w:sz="0" w:space="0" w:color="auto"/>
                      </w:divBdr>
                      <w:divsChild>
                        <w:div w:id="2013951942">
                          <w:marLeft w:val="0"/>
                          <w:marRight w:val="0"/>
                          <w:marTop w:val="0"/>
                          <w:marBottom w:val="0"/>
                          <w:divBdr>
                            <w:top w:val="none" w:sz="0" w:space="0" w:color="auto"/>
                            <w:left w:val="none" w:sz="0" w:space="0" w:color="auto"/>
                            <w:bottom w:val="none" w:sz="0" w:space="0" w:color="auto"/>
                            <w:right w:val="none" w:sz="0" w:space="0" w:color="auto"/>
                          </w:divBdr>
                        </w:div>
                      </w:divsChild>
                    </w:div>
                    <w:div w:id="879441923">
                      <w:marLeft w:val="0"/>
                      <w:marRight w:val="0"/>
                      <w:marTop w:val="0"/>
                      <w:marBottom w:val="0"/>
                      <w:divBdr>
                        <w:top w:val="none" w:sz="0" w:space="0" w:color="auto"/>
                        <w:left w:val="none" w:sz="0" w:space="0" w:color="auto"/>
                        <w:bottom w:val="none" w:sz="0" w:space="0" w:color="auto"/>
                        <w:right w:val="none" w:sz="0" w:space="0" w:color="auto"/>
                      </w:divBdr>
                      <w:divsChild>
                        <w:div w:id="4703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7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CBFE-0614-49A3-AA59-EAF781E4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2116</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CAVAILLE</dc:creator>
  <cp:keywords/>
  <dc:description/>
  <cp:lastModifiedBy>VIDAL Eric</cp:lastModifiedBy>
  <cp:revision>2</cp:revision>
  <dcterms:created xsi:type="dcterms:W3CDTF">2024-09-24T07:27:00Z</dcterms:created>
  <dcterms:modified xsi:type="dcterms:W3CDTF">2024-09-24T07:27:00Z</dcterms:modified>
</cp:coreProperties>
</file>